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7E42" w14:textId="4C884298" w:rsidR="00343DFD" w:rsidRPr="00D31243" w:rsidRDefault="003860F1" w:rsidP="00D31243">
      <w:pPr>
        <w:spacing w:line="240" w:lineRule="auto"/>
        <w:jc w:val="center"/>
        <w:rPr>
          <w:rFonts w:cstheme="minorHAnsi"/>
          <w:b/>
          <w:bCs/>
          <w:noProof/>
          <w:color w:val="0D0D0D" w:themeColor="text1" w:themeTint="F2"/>
          <w:sz w:val="32"/>
          <w:szCs w:val="32"/>
        </w:rPr>
      </w:pPr>
      <w:r w:rsidRPr="00D31243">
        <w:rPr>
          <w:rFonts w:cstheme="minorHAnsi"/>
          <w:b/>
          <w:bCs/>
          <w:noProof/>
          <w:color w:val="0D0D0D" w:themeColor="text1" w:themeTint="F2"/>
          <w:sz w:val="32"/>
          <w:szCs w:val="32"/>
        </w:rPr>
        <w:t>STATUTUL</w:t>
      </w:r>
    </w:p>
    <w:p w14:paraId="194A49ED" w14:textId="3BD40B54" w:rsidR="00B85024" w:rsidRDefault="003860F1" w:rsidP="00D31243">
      <w:pPr>
        <w:spacing w:line="240" w:lineRule="auto"/>
        <w:jc w:val="center"/>
        <w:rPr>
          <w:rFonts w:cstheme="minorHAnsi"/>
          <w:b/>
          <w:bCs/>
          <w:noProof/>
          <w:color w:val="0D0D0D" w:themeColor="text1" w:themeTint="F2"/>
        </w:rPr>
      </w:pPr>
      <w:r w:rsidRPr="00810351">
        <w:rPr>
          <w:rFonts w:cstheme="minorHAnsi"/>
          <w:b/>
          <w:bCs/>
          <w:noProof/>
          <w:color w:val="0D0D0D" w:themeColor="text1" w:themeTint="F2"/>
        </w:rPr>
        <w:t>SOCIET</w:t>
      </w:r>
      <w:r w:rsidR="009C72A0">
        <w:rPr>
          <w:rFonts w:cstheme="minorHAnsi"/>
          <w:b/>
          <w:bCs/>
          <w:noProof/>
          <w:color w:val="0D0D0D" w:themeColor="text1" w:themeTint="F2"/>
        </w:rPr>
        <w:t>ĂȚ</w:t>
      </w:r>
      <w:r w:rsidRPr="00810351">
        <w:rPr>
          <w:rFonts w:cstheme="minorHAnsi"/>
          <w:b/>
          <w:bCs/>
          <w:noProof/>
          <w:color w:val="0D0D0D" w:themeColor="text1" w:themeTint="F2"/>
        </w:rPr>
        <w:t>II ACADEMICE DE MEDICINA STILULUI DE VIA</w:t>
      </w:r>
      <w:r w:rsidR="009C72A0">
        <w:rPr>
          <w:rFonts w:cstheme="minorHAnsi"/>
          <w:b/>
          <w:bCs/>
          <w:noProof/>
          <w:color w:val="0D0D0D" w:themeColor="text1" w:themeTint="F2"/>
        </w:rPr>
        <w:t>ȚĂ</w:t>
      </w:r>
    </w:p>
    <w:p w14:paraId="555692C0" w14:textId="53CD4456" w:rsidR="00983C96" w:rsidRPr="00D31243" w:rsidRDefault="00CD7B77" w:rsidP="00D31243">
      <w:pPr>
        <w:spacing w:line="240" w:lineRule="auto"/>
        <w:jc w:val="center"/>
        <w:rPr>
          <w:rFonts w:cstheme="minorHAnsi"/>
          <w:i/>
          <w:iCs/>
          <w:noProof/>
          <w:color w:val="0D0D0D" w:themeColor="text1" w:themeTint="F2"/>
          <w:lang w:val="en-US"/>
        </w:rPr>
      </w:pPr>
      <w:r w:rsidRPr="00D31243">
        <w:rPr>
          <w:rFonts w:cstheme="minorHAnsi"/>
          <w:i/>
          <w:iCs/>
          <w:noProof/>
          <w:color w:val="0D0D0D" w:themeColor="text1" w:themeTint="F2"/>
          <w:lang w:val="en-US"/>
        </w:rPr>
        <w:t>[Extrase]</w:t>
      </w:r>
    </w:p>
    <w:p w14:paraId="2839558F" w14:textId="77777777" w:rsidR="00400824" w:rsidRPr="00810351" w:rsidRDefault="00400824" w:rsidP="00D31243">
      <w:pPr>
        <w:spacing w:line="240" w:lineRule="auto"/>
        <w:jc w:val="center"/>
        <w:rPr>
          <w:rFonts w:cstheme="minorHAnsi"/>
          <w:b/>
          <w:bCs/>
          <w:noProof/>
          <w:color w:val="0D0D0D" w:themeColor="text1" w:themeTint="F2"/>
        </w:rPr>
      </w:pPr>
    </w:p>
    <w:p w14:paraId="0886BEBB"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b/>
          <w:bCs/>
          <w:noProof/>
          <w:color w:val="0D0D0D" w:themeColor="text1" w:themeTint="F2"/>
        </w:rPr>
        <w:t>Art. 2 – Denumirea. Cadrul legal</w:t>
      </w:r>
    </w:p>
    <w:p w14:paraId="15FDFF76" w14:textId="6728CAA3" w:rsidR="004B64B1" w:rsidRPr="000C3DFB" w:rsidRDefault="000C3DFB" w:rsidP="00D31243">
      <w:pPr>
        <w:spacing w:line="240" w:lineRule="auto"/>
        <w:jc w:val="both"/>
        <w:rPr>
          <w:rFonts w:cstheme="minorHAnsi"/>
          <w:noProof/>
          <w:color w:val="0D0D0D" w:themeColor="text1" w:themeTint="F2"/>
        </w:rPr>
      </w:pPr>
      <w:r>
        <w:rPr>
          <w:rFonts w:cstheme="minorHAnsi"/>
          <w:noProof/>
          <w:color w:val="0D0D0D" w:themeColor="text1" w:themeTint="F2"/>
        </w:rPr>
        <w:t xml:space="preserve">(1) </w:t>
      </w:r>
      <w:r w:rsidR="003860F1" w:rsidRPr="000C3DFB">
        <w:rPr>
          <w:rFonts w:cstheme="minorHAnsi"/>
          <w:noProof/>
          <w:color w:val="0D0D0D" w:themeColor="text1" w:themeTint="F2"/>
        </w:rPr>
        <w:t xml:space="preserve">Denumirea oficială: Asociația are denumirea de „Societatea Academică de Medicina Stilului de Viață”, </w:t>
      </w:r>
      <w:r w:rsidR="00D31243">
        <w:rPr>
          <w:rFonts w:cstheme="minorHAnsi"/>
          <w:noProof/>
          <w:color w:val="0D0D0D" w:themeColor="text1" w:themeTint="F2"/>
        </w:rPr>
        <w:t>conform</w:t>
      </w:r>
      <w:r w:rsidR="003860F1" w:rsidRPr="000C3DFB">
        <w:rPr>
          <w:rFonts w:cstheme="minorHAnsi"/>
          <w:noProof/>
          <w:color w:val="0D0D0D" w:themeColor="text1" w:themeTint="F2"/>
        </w:rPr>
        <w:t xml:space="preserve"> Dovada privind disponibilitatea denumirii Nr. 222535/10.06.2025 eliberată de Ministerul Justiției.</w:t>
      </w:r>
      <w:r w:rsidR="00D31243">
        <w:rPr>
          <w:rFonts w:cstheme="minorHAnsi"/>
          <w:noProof/>
          <w:color w:val="0D0D0D" w:themeColor="text1" w:themeTint="F2"/>
        </w:rPr>
        <w:t>[...]</w:t>
      </w:r>
    </w:p>
    <w:p w14:paraId="60D5499C" w14:textId="453A19F0"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(3) Asociația va folosi </w:t>
      </w:r>
      <w:r w:rsidR="00D31243" w:rsidRPr="003860F1">
        <w:rPr>
          <w:rFonts w:cstheme="minorHAnsi"/>
          <w:noProof/>
          <w:color w:val="0D0D0D" w:themeColor="text1" w:themeTint="F2"/>
        </w:rPr>
        <w:t>î</w:t>
      </w:r>
      <w:r w:rsidR="00D31243">
        <w:rPr>
          <w:rFonts w:cstheme="minorHAnsi"/>
          <w:noProof/>
          <w:color w:val="0D0D0D" w:themeColor="text1" w:themeTint="F2"/>
        </w:rPr>
        <w:t xml:space="preserve">n relații internaționale </w:t>
      </w:r>
      <w:r w:rsidR="00D31243" w:rsidRPr="003860F1">
        <w:rPr>
          <w:rFonts w:cstheme="minorHAnsi"/>
          <w:noProof/>
          <w:color w:val="0D0D0D" w:themeColor="text1" w:themeTint="F2"/>
        </w:rPr>
        <w:t>denumirea</w:t>
      </w:r>
      <w:r w:rsidRPr="003860F1">
        <w:rPr>
          <w:rFonts w:cstheme="minorHAnsi"/>
          <w:noProof/>
          <w:color w:val="0D0D0D" w:themeColor="text1" w:themeTint="F2"/>
        </w:rPr>
        <w:t xml:space="preserve"> în limba engleză</w:t>
      </w:r>
      <w:r w:rsidR="00D31243">
        <w:rPr>
          <w:rFonts w:cstheme="minorHAnsi"/>
          <w:noProof/>
          <w:color w:val="0D0D0D" w:themeColor="text1" w:themeTint="F2"/>
        </w:rPr>
        <w:t xml:space="preserve"> </w:t>
      </w:r>
      <w:r w:rsidRPr="003860F1">
        <w:rPr>
          <w:rFonts w:cstheme="minorHAnsi"/>
          <w:noProof/>
          <w:color w:val="0D0D0D" w:themeColor="text1" w:themeTint="F2"/>
        </w:rPr>
        <w:t xml:space="preserve">„Academic Society of Lifestyle Medicine”, prescurtat </w:t>
      </w:r>
      <w:r w:rsidRPr="00D31243">
        <w:rPr>
          <w:rFonts w:cstheme="minorHAnsi"/>
          <w:b/>
          <w:bCs/>
          <w:noProof/>
          <w:color w:val="0D0D0D" w:themeColor="text1" w:themeTint="F2"/>
        </w:rPr>
        <w:t>ASLM</w:t>
      </w:r>
      <w:r w:rsidRPr="003860F1">
        <w:rPr>
          <w:rFonts w:cstheme="minorHAnsi"/>
          <w:noProof/>
          <w:color w:val="0D0D0D" w:themeColor="text1" w:themeTint="F2"/>
        </w:rPr>
        <w:t>.</w:t>
      </w:r>
      <w:r w:rsidR="00D31243">
        <w:rPr>
          <w:rFonts w:cstheme="minorHAnsi"/>
          <w:noProof/>
          <w:color w:val="0D0D0D" w:themeColor="text1" w:themeTint="F2"/>
        </w:rPr>
        <w:t>[...]</w:t>
      </w:r>
    </w:p>
    <w:p w14:paraId="22F3663E" w14:textId="77777777" w:rsidR="00D31243" w:rsidRDefault="00D31243" w:rsidP="00D31243">
      <w:pPr>
        <w:spacing w:line="240" w:lineRule="auto"/>
        <w:jc w:val="both"/>
        <w:rPr>
          <w:rFonts w:cstheme="minorHAnsi"/>
          <w:b/>
          <w:bCs/>
          <w:noProof/>
          <w:color w:val="0D0D0D" w:themeColor="text1" w:themeTint="F2"/>
        </w:rPr>
      </w:pPr>
    </w:p>
    <w:p w14:paraId="284FDCAB" w14:textId="765B2DA7" w:rsidR="003860F1" w:rsidRPr="003860F1" w:rsidRDefault="003860F1" w:rsidP="00D31243">
      <w:pPr>
        <w:spacing w:line="240" w:lineRule="auto"/>
        <w:jc w:val="both"/>
        <w:rPr>
          <w:rFonts w:cstheme="minorHAnsi"/>
          <w:noProof/>
          <w:color w:val="0D0D0D" w:themeColor="text1" w:themeTint="F2"/>
        </w:rPr>
      </w:pPr>
      <w:r w:rsidRPr="003860F1">
        <w:rPr>
          <w:rFonts w:cstheme="minorHAnsi"/>
          <w:b/>
          <w:bCs/>
          <w:noProof/>
          <w:color w:val="0D0D0D" w:themeColor="text1" w:themeTint="F2"/>
        </w:rPr>
        <w:t>Art. 3 – Durata și sediul</w:t>
      </w:r>
    </w:p>
    <w:p w14:paraId="1AD160B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(1) Asociația se constituie pe o durată nelimitată.</w:t>
      </w:r>
    </w:p>
    <w:p w14:paraId="3034A4C3" w14:textId="02808060" w:rsidR="003860F1" w:rsidRDefault="003860F1" w:rsidP="00D31243">
      <w:pPr>
        <w:spacing w:line="240" w:lineRule="auto"/>
        <w:jc w:val="both"/>
        <w:rPr>
          <w:rFonts w:cstheme="minorHAnsi"/>
          <w:noProof/>
          <w:color w:val="0D0D0D" w:themeColor="text1" w:themeTint="F2"/>
        </w:rPr>
      </w:pPr>
      <w:r w:rsidRPr="00810351">
        <w:rPr>
          <w:rFonts w:cstheme="minorHAnsi"/>
          <w:noProof/>
          <w:color w:val="0D0D0D" w:themeColor="text1" w:themeTint="F2"/>
        </w:rPr>
        <w:t xml:space="preserve">(2) </w:t>
      </w:r>
      <w:r w:rsidRPr="00810351">
        <w:rPr>
          <w:rFonts w:cstheme="minorHAnsi"/>
          <w:b/>
          <w:bCs/>
          <w:noProof/>
          <w:color w:val="0D0D0D" w:themeColor="text1" w:themeTint="F2"/>
        </w:rPr>
        <w:t>Sediul Asociației</w:t>
      </w:r>
      <w:r w:rsidRPr="00810351">
        <w:rPr>
          <w:rFonts w:cstheme="minorHAnsi"/>
          <w:noProof/>
          <w:color w:val="0D0D0D" w:themeColor="text1" w:themeTint="F2"/>
        </w:rPr>
        <w:t xml:space="preserve"> este în </w:t>
      </w:r>
      <w:r w:rsidR="00D31243">
        <w:rPr>
          <w:rFonts w:cstheme="minorHAnsi"/>
          <w:noProof/>
          <w:color w:val="0D0D0D" w:themeColor="text1" w:themeTint="F2"/>
        </w:rPr>
        <w:t>s</w:t>
      </w:r>
      <w:r w:rsidRPr="00810351">
        <w:rPr>
          <w:rFonts w:cstheme="minorHAnsi"/>
          <w:noProof/>
          <w:color w:val="0D0D0D" w:themeColor="text1" w:themeTint="F2"/>
        </w:rPr>
        <w:t xml:space="preserve">trada </w:t>
      </w:r>
      <w:r w:rsidR="00D31243">
        <w:rPr>
          <w:rFonts w:cstheme="minorHAnsi"/>
          <w:noProof/>
          <w:color w:val="0D0D0D" w:themeColor="text1" w:themeTint="F2"/>
        </w:rPr>
        <w:t>Ionel Perlea</w:t>
      </w:r>
      <w:r w:rsidRPr="00810351">
        <w:rPr>
          <w:rFonts w:cstheme="minorHAnsi"/>
          <w:noProof/>
          <w:color w:val="0D0D0D" w:themeColor="text1" w:themeTint="F2"/>
        </w:rPr>
        <w:t xml:space="preserve">, Nr. </w:t>
      </w:r>
      <w:r w:rsidR="00D31243">
        <w:rPr>
          <w:rFonts w:cstheme="minorHAnsi"/>
          <w:noProof/>
          <w:color w:val="0D0D0D" w:themeColor="text1" w:themeTint="F2"/>
        </w:rPr>
        <w:t>10</w:t>
      </w:r>
      <w:r w:rsidRPr="00810351">
        <w:rPr>
          <w:rFonts w:cstheme="minorHAnsi"/>
          <w:noProof/>
          <w:color w:val="0D0D0D" w:themeColor="text1" w:themeTint="F2"/>
        </w:rPr>
        <w:t xml:space="preserve">, Sector </w:t>
      </w:r>
      <w:r w:rsidR="00D31243">
        <w:rPr>
          <w:rFonts w:cstheme="minorHAnsi"/>
          <w:noProof/>
          <w:color w:val="0D0D0D" w:themeColor="text1" w:themeTint="F2"/>
        </w:rPr>
        <w:t>1</w:t>
      </w:r>
      <w:r w:rsidRPr="00810351">
        <w:rPr>
          <w:rFonts w:cstheme="minorHAnsi"/>
          <w:noProof/>
          <w:color w:val="0D0D0D" w:themeColor="text1" w:themeTint="F2"/>
        </w:rPr>
        <w:t>, București</w:t>
      </w:r>
      <w:r w:rsidR="00D31243">
        <w:rPr>
          <w:rFonts w:cstheme="minorHAnsi"/>
          <w:noProof/>
          <w:color w:val="0D0D0D" w:themeColor="text1" w:themeTint="F2"/>
        </w:rPr>
        <w:t>, România</w:t>
      </w:r>
      <w:r w:rsidRPr="00810351">
        <w:rPr>
          <w:rFonts w:cstheme="minorHAnsi"/>
          <w:noProof/>
          <w:color w:val="0D0D0D" w:themeColor="text1" w:themeTint="F2"/>
        </w:rPr>
        <w:t>. Sediul va putea fi schimbat prin hotărârea Consiliului Director cu respectarea dispozițiilor statutare.</w:t>
      </w:r>
    </w:p>
    <w:p w14:paraId="36190B51" w14:textId="34ACB49B" w:rsidR="00D31243" w:rsidRPr="00D31243" w:rsidRDefault="00D31243" w:rsidP="00D31243">
      <w:pPr>
        <w:spacing w:line="240" w:lineRule="auto"/>
        <w:jc w:val="both"/>
        <w:rPr>
          <w:rFonts w:cstheme="minorHAnsi"/>
          <w:noProof/>
          <w:color w:val="0D0D0D" w:themeColor="text1" w:themeTint="F2"/>
        </w:rPr>
      </w:pPr>
      <w:r>
        <w:rPr>
          <w:rFonts w:cstheme="minorHAnsi"/>
          <w:noProof/>
          <w:color w:val="0D0D0D" w:themeColor="text1" w:themeTint="F2"/>
        </w:rPr>
        <w:t>(3) Site oficial ASLM</w:t>
      </w:r>
      <w:r>
        <w:rPr>
          <w:rFonts w:cstheme="minorHAnsi"/>
          <w:noProof/>
          <w:color w:val="0D0D0D" w:themeColor="text1" w:themeTint="F2"/>
          <w:lang w:val="en-US"/>
        </w:rPr>
        <w:t xml:space="preserve">: </w:t>
      </w:r>
      <w:hyperlink r:id="rId5" w:history="1">
        <w:r w:rsidRPr="004B033F">
          <w:rPr>
            <w:rStyle w:val="Hyperlink"/>
            <w:rFonts w:cstheme="minorHAnsi"/>
            <w:noProof/>
            <w:lang w:val="en-US"/>
          </w:rPr>
          <w:t>https://</w:t>
        </w:r>
        <w:r w:rsidRPr="004B033F">
          <w:rPr>
            <w:rStyle w:val="Hyperlink"/>
            <w:rFonts w:cstheme="minorHAnsi"/>
            <w:noProof/>
            <w:lang w:val="en-US"/>
          </w:rPr>
          <w:t>ASLM</w:t>
        </w:r>
        <w:r w:rsidRPr="004B033F">
          <w:rPr>
            <w:rStyle w:val="Hyperlink"/>
            <w:rFonts w:cstheme="minorHAnsi"/>
            <w:noProof/>
            <w:lang w:val="en-US"/>
          </w:rPr>
          <w:t>.ro/</w:t>
        </w:r>
      </w:hyperlink>
      <w:r>
        <w:rPr>
          <w:rFonts w:cstheme="minorHAnsi"/>
          <w:noProof/>
          <w:color w:val="0D0D0D" w:themeColor="text1" w:themeTint="F2"/>
          <w:lang w:val="en-US"/>
        </w:rPr>
        <w:t xml:space="preserve">  </w:t>
      </w:r>
      <w:r>
        <w:rPr>
          <w:rFonts w:cstheme="minorHAnsi"/>
          <w:noProof/>
          <w:color w:val="0D0D0D" w:themeColor="text1" w:themeTint="F2"/>
        </w:rPr>
        <w:t xml:space="preserve">și </w:t>
      </w:r>
      <w:hyperlink r:id="rId6" w:history="1">
        <w:r w:rsidRPr="004B033F">
          <w:rPr>
            <w:rStyle w:val="Hyperlink"/>
            <w:rFonts w:cstheme="minorHAnsi"/>
            <w:noProof/>
            <w:lang w:val="en-US"/>
          </w:rPr>
          <w:t>https://ASLM.</w:t>
        </w:r>
        <w:r w:rsidRPr="004B033F">
          <w:rPr>
            <w:rStyle w:val="Hyperlink"/>
            <w:rFonts w:cstheme="minorHAnsi"/>
            <w:noProof/>
            <w:lang w:val="en-US"/>
          </w:rPr>
          <w:t>org.</w:t>
        </w:r>
        <w:r w:rsidRPr="004B033F">
          <w:rPr>
            <w:rStyle w:val="Hyperlink"/>
            <w:rFonts w:cstheme="minorHAnsi"/>
            <w:noProof/>
            <w:lang w:val="en-US"/>
          </w:rPr>
          <w:t>ro/</w:t>
        </w:r>
      </w:hyperlink>
    </w:p>
    <w:p w14:paraId="74749EAB" w14:textId="77777777" w:rsidR="00D31243" w:rsidRDefault="00D31243" w:rsidP="00D31243">
      <w:pPr>
        <w:spacing w:line="240" w:lineRule="auto"/>
        <w:jc w:val="both"/>
        <w:rPr>
          <w:rFonts w:cstheme="minorHAnsi"/>
          <w:b/>
          <w:bCs/>
          <w:noProof/>
          <w:color w:val="0D0D0D" w:themeColor="text1" w:themeTint="F2"/>
        </w:rPr>
      </w:pPr>
    </w:p>
    <w:p w14:paraId="7B3765A8" w14:textId="6EA614B0" w:rsidR="003860F1" w:rsidRPr="003860F1" w:rsidRDefault="003860F1" w:rsidP="00D31243">
      <w:pPr>
        <w:spacing w:line="240" w:lineRule="auto"/>
        <w:jc w:val="both"/>
        <w:rPr>
          <w:rFonts w:cstheme="minorHAnsi"/>
          <w:noProof/>
          <w:color w:val="0D0D0D" w:themeColor="text1" w:themeTint="F2"/>
        </w:rPr>
      </w:pPr>
      <w:r w:rsidRPr="003860F1">
        <w:rPr>
          <w:rFonts w:cstheme="minorHAnsi"/>
          <w:b/>
          <w:bCs/>
          <w:noProof/>
          <w:color w:val="0D0D0D" w:themeColor="text1" w:themeTint="F2"/>
        </w:rPr>
        <w:t>Art. 4 – Afilierea și alte raporturi</w:t>
      </w:r>
    </w:p>
    <w:p w14:paraId="1743E940"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(1) Asociația se poate afilia la alte organizații cu scop asemănător, din țară sau străinătate, poate adera la uniuni, federații sau confederații din țară sau străinătate, cu păstrarea independenței.</w:t>
      </w:r>
    </w:p>
    <w:p w14:paraId="2358029C" w14:textId="77777777" w:rsidR="003860F1" w:rsidRPr="0081035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(2) Asociația poate stabili raporturi de colaborare sau parteneriat și orice alte raporturi permise de lege, cu instituții și persoane juridice sau fizice, din țară sau străinătate, în condițiile prezentului statut și ale legii, potrivit scopului și obiectivelor sale.</w:t>
      </w:r>
    </w:p>
    <w:p w14:paraId="74B154E7" w14:textId="77777777" w:rsidR="003860F1" w:rsidRPr="00810351" w:rsidRDefault="003860F1" w:rsidP="00D31243">
      <w:pPr>
        <w:spacing w:line="240" w:lineRule="auto"/>
        <w:jc w:val="both"/>
        <w:rPr>
          <w:rFonts w:cstheme="minorHAnsi"/>
          <w:noProof/>
          <w:color w:val="0D0D0D" w:themeColor="text1" w:themeTint="F2"/>
        </w:rPr>
      </w:pPr>
    </w:p>
    <w:p w14:paraId="5A66A2FC" w14:textId="77777777" w:rsidR="003860F1" w:rsidRPr="003860F1" w:rsidRDefault="003860F1" w:rsidP="00D31243">
      <w:pPr>
        <w:spacing w:line="240" w:lineRule="auto"/>
        <w:jc w:val="center"/>
        <w:rPr>
          <w:rFonts w:cstheme="minorHAnsi"/>
          <w:b/>
          <w:bCs/>
          <w:noProof/>
          <w:color w:val="0D0D0D" w:themeColor="text1" w:themeTint="F2"/>
        </w:rPr>
      </w:pPr>
      <w:r w:rsidRPr="003860F1">
        <w:rPr>
          <w:rFonts w:cstheme="minorHAnsi"/>
          <w:b/>
          <w:bCs/>
          <w:noProof/>
          <w:color w:val="0D0D0D" w:themeColor="text1" w:themeTint="F2"/>
        </w:rPr>
        <w:t>CAPITOLUL II – SCOPUL ȘI OBIECTIVELE ASOCIAȚIEI</w:t>
      </w:r>
    </w:p>
    <w:p w14:paraId="2E87899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b/>
          <w:bCs/>
          <w:noProof/>
          <w:color w:val="0D0D0D" w:themeColor="text1" w:themeTint="F2"/>
        </w:rPr>
        <w:t>Art. 5 – Scopul asociației</w:t>
      </w:r>
    </w:p>
    <w:p w14:paraId="20B66336" w14:textId="4B275BB0"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(1) „Societatea Academică de Medicina Stilului de Viață” </w:t>
      </w:r>
      <w:r w:rsidR="00D31243" w:rsidRPr="003860F1">
        <w:rPr>
          <w:rFonts w:cstheme="minorHAnsi"/>
          <w:noProof/>
          <w:color w:val="0D0D0D" w:themeColor="text1" w:themeTint="F2"/>
        </w:rPr>
        <w:t>–</w:t>
      </w:r>
      <w:r w:rsidR="00D31243">
        <w:rPr>
          <w:rFonts w:cstheme="minorHAnsi"/>
          <w:noProof/>
          <w:color w:val="0D0D0D" w:themeColor="text1" w:themeTint="F2"/>
        </w:rPr>
        <w:t xml:space="preserve"> ASLM </w:t>
      </w:r>
      <w:r w:rsidR="00D31243" w:rsidRPr="003860F1">
        <w:rPr>
          <w:rFonts w:cstheme="minorHAnsi"/>
          <w:noProof/>
          <w:color w:val="0D0D0D" w:themeColor="text1" w:themeTint="F2"/>
        </w:rPr>
        <w:t>–</w:t>
      </w:r>
      <w:r w:rsidR="00D31243">
        <w:rPr>
          <w:rFonts w:cstheme="minorHAnsi"/>
          <w:noProof/>
          <w:color w:val="0D0D0D" w:themeColor="text1" w:themeTint="F2"/>
        </w:rPr>
        <w:t xml:space="preserve"> </w:t>
      </w:r>
      <w:r w:rsidRPr="003860F1">
        <w:rPr>
          <w:rFonts w:cstheme="minorHAnsi"/>
          <w:noProof/>
          <w:color w:val="0D0D0D" w:themeColor="text1" w:themeTint="F2"/>
        </w:rPr>
        <w:t>este o asociație medicală profesională pentru medici</w:t>
      </w:r>
      <w:r w:rsidR="00D31243">
        <w:rPr>
          <w:rFonts w:cstheme="minorHAnsi"/>
          <w:noProof/>
          <w:color w:val="0D0D0D" w:themeColor="text1" w:themeTint="F2"/>
        </w:rPr>
        <w:t xml:space="preserve"> și alți</w:t>
      </w:r>
      <w:r w:rsidRPr="003860F1">
        <w:rPr>
          <w:rFonts w:cstheme="minorHAnsi"/>
          <w:noProof/>
          <w:color w:val="0D0D0D" w:themeColor="text1" w:themeTint="F2"/>
        </w:rPr>
        <w:t xml:space="preserve"> profesioniști din domeniul sănătății</w:t>
      </w:r>
      <w:r w:rsidR="00D31243">
        <w:rPr>
          <w:rFonts w:cstheme="minorHAnsi"/>
          <w:noProof/>
          <w:color w:val="0D0D0D" w:themeColor="text1" w:themeTint="F2"/>
        </w:rPr>
        <w:t>, precum</w:t>
      </w:r>
      <w:r w:rsidRPr="003860F1">
        <w:rPr>
          <w:rFonts w:cstheme="minorHAnsi"/>
          <w:noProof/>
          <w:color w:val="0D0D0D" w:themeColor="text1" w:themeTint="F2"/>
        </w:rPr>
        <w:t xml:space="preserve"> și pentru persoane interesate de stilul de viață sănătos și longevitate.</w:t>
      </w:r>
      <w:r w:rsidR="00D31243">
        <w:rPr>
          <w:rFonts w:cstheme="minorHAnsi"/>
          <w:noProof/>
          <w:color w:val="0D0D0D" w:themeColor="text1" w:themeTint="F2"/>
        </w:rPr>
        <w:t xml:space="preserve"> </w:t>
      </w:r>
      <w:r w:rsidRPr="003860F1">
        <w:rPr>
          <w:rFonts w:cstheme="minorHAnsi"/>
          <w:noProof/>
          <w:color w:val="0D0D0D" w:themeColor="text1" w:themeTint="F2"/>
        </w:rPr>
        <w:t>Are ca scop promovarea, dezvoltarea și susținerea medicinei bazate pe dovezi, centrate pe prevenție, intervenție timpurie și schimbarea comportamentelor legate de stilul de viață, în vederea îmbunătățirii stării de sănătate a populației.</w:t>
      </w:r>
    </w:p>
    <w:p w14:paraId="1008E40A"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ASLM își propune să promoveze cei șase piloni fundamentali ai medicinei stilului de viață – nutriția echilibrată, activitatea fizică regulată, somnul de calitate, gestionarea eficientă a stresului, construirea de relații sociale pozitive și evitarea consumului de substanțe nocive – ca elemente centrale în prevenirea și tratarea bolilor cronice.</w:t>
      </w:r>
    </w:p>
    <w:p w14:paraId="402109CE"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În același timp, asociația susține cercetarea științifică și educația medicală continuă în acest domeniu, încurajând integrarea intervențiilor bazate pe schimbarea stilului de viață în practica medicală curentă. ASLM contribuie activ la dezvoltarea unei comunități interdisciplinare de profesioniști din domeniul sănătății, angajați în promovarea unei abordări preventive și educaționale asupra stării de bine individuale și colective.</w:t>
      </w:r>
    </w:p>
    <w:p w14:paraId="4E820A30"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lastRenderedPageBreak/>
        <w:t>Totodată, societatea urmărește să colaboreze cu instituții academice, organizații profesionale și autorități publice pentru implementarea de politici și programe naționale și internaționale axate pe stilul de viață sănătos. Prin toate aceste demersuri, ASLM dorește să crească nivelul de conștientizare al populației cu privire la impactul alegerilor zilnice asupra sănătății pe termen lung, consolidând rolul medicinei stilului de viață ca pilon esențial al sănătății publice moderne.</w:t>
      </w:r>
    </w:p>
    <w:p w14:paraId="6DCDB1EB" w14:textId="17AD66C3"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(2) Modificarea scopului </w:t>
      </w:r>
      <w:r w:rsidR="00D31243">
        <w:rPr>
          <w:rFonts w:cstheme="minorHAnsi"/>
          <w:noProof/>
          <w:color w:val="0D0D0D" w:themeColor="text1" w:themeTint="F2"/>
        </w:rPr>
        <w:t>ASLM</w:t>
      </w:r>
      <w:r w:rsidRPr="003860F1">
        <w:rPr>
          <w:rFonts w:cstheme="minorHAnsi"/>
          <w:noProof/>
          <w:color w:val="0D0D0D" w:themeColor="text1" w:themeTint="F2"/>
        </w:rPr>
        <w:t xml:space="preserve"> se poate realiza doar prin hotărârea membrilor fondatori.</w:t>
      </w:r>
    </w:p>
    <w:p w14:paraId="27304B3A" w14:textId="77777777" w:rsidR="00D31243" w:rsidRDefault="00D31243" w:rsidP="00D31243">
      <w:pPr>
        <w:spacing w:line="240" w:lineRule="auto"/>
        <w:jc w:val="both"/>
        <w:rPr>
          <w:rFonts w:cstheme="minorHAnsi"/>
          <w:b/>
          <w:bCs/>
          <w:noProof/>
          <w:color w:val="0D0D0D" w:themeColor="text1" w:themeTint="F2"/>
        </w:rPr>
      </w:pPr>
    </w:p>
    <w:p w14:paraId="4BAC847F" w14:textId="66E98215" w:rsidR="003860F1" w:rsidRPr="003860F1" w:rsidRDefault="003860F1" w:rsidP="00D31243">
      <w:pPr>
        <w:spacing w:line="240" w:lineRule="auto"/>
        <w:jc w:val="both"/>
        <w:rPr>
          <w:rFonts w:cstheme="minorHAnsi"/>
          <w:noProof/>
          <w:color w:val="0D0D0D" w:themeColor="text1" w:themeTint="F2"/>
        </w:rPr>
      </w:pPr>
      <w:r w:rsidRPr="003860F1">
        <w:rPr>
          <w:rFonts w:cstheme="minorHAnsi"/>
          <w:b/>
          <w:bCs/>
          <w:noProof/>
          <w:color w:val="0D0D0D" w:themeColor="text1" w:themeTint="F2"/>
        </w:rPr>
        <w:t>Art. 6 – Obiectivele asociației</w:t>
      </w:r>
    </w:p>
    <w:p w14:paraId="3463D2AE" w14:textId="4CD0C46B"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Pentru realizarea scopului său, „Societatea Academică de Medicina Stilului de Viață” </w:t>
      </w:r>
      <w:r w:rsidR="00D31243">
        <w:rPr>
          <w:rFonts w:cstheme="minorHAnsi"/>
          <w:noProof/>
          <w:color w:val="0D0D0D" w:themeColor="text1" w:themeTint="F2"/>
        </w:rPr>
        <w:t xml:space="preserve">– ASLM – </w:t>
      </w:r>
      <w:r w:rsidRPr="003860F1">
        <w:rPr>
          <w:rFonts w:cstheme="minorHAnsi"/>
          <w:noProof/>
          <w:color w:val="0D0D0D" w:themeColor="text1" w:themeTint="F2"/>
        </w:rPr>
        <w:t>are următoarele obiective:</w:t>
      </w:r>
    </w:p>
    <w:p w14:paraId="74962F2E"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a) Promovarea și integrarea principiilor medicinei stilului de viață în curriculumul instituțiilor de învățământ medical și conex, la nivel universitar și postuniversitar;</w:t>
      </w:r>
    </w:p>
    <w:p w14:paraId="409CECF9"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b) Educația continuă a studenților, rezidenților, medicilor și a altor specialiști din domeniul sănătății prin programe certificate, cursuri, școli de vară, traininguri și alte forme de formare profesională, inclusiv prin colaborări naționale și internaționale;</w:t>
      </w:r>
    </w:p>
    <w:p w14:paraId="3823D63D"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c) Promovarea celor șase piloni fundamentali ai medicinei stilului de viață – nutriție echilibrată, activitate fizică regulată, somn de calitate, gestionarea stresului, relații sociale pozitive și evitarea substanțelor nocive – prin campanii publice, inițiative educaționale și proiecte comunitare;</w:t>
      </w:r>
    </w:p>
    <w:p w14:paraId="51DEB04F"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d) Dezvoltarea de programe de prevenție și intervenție precoce, precum și facilitarea accesului publicului la informații validate științific privind menținerea sănătății și prevenirea bolilor cronice;</w:t>
      </w:r>
    </w:p>
    <w:p w14:paraId="671EB1D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e) Organizarea de congrese, conferințe, simpozioane, mese rotunde și alte evenimente științifice naționale și internaționale;</w:t>
      </w:r>
    </w:p>
    <w:p w14:paraId="1F99A1EF"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f) Participarea la manifestări științifice și academice în domenii conexe medicinei stilului de viață și reprezentarea profesională a membrilor în foruri de specialitate;</w:t>
      </w:r>
    </w:p>
    <w:p w14:paraId="63E607F7"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g) Editarea și difuzarea de reviste științifice, buletine informative, cărți, broșuri și materiale educative; promovarea revistei proprii dedicate medicinei stilului de viață;</w:t>
      </w:r>
    </w:p>
    <w:p w14:paraId="0ACC8D23"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h) Stimularea și susținerea cercetării științifice în domeniul medicinei stilului de viață și în domeniile asociate, inclusiv prin dezvoltarea de parteneriate cu instituții academice, spitale, centre de cercetare și ONG-uri;</w:t>
      </w:r>
    </w:p>
    <w:p w14:paraId="644F3B99"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i) Stabilirea de parteneriate, alianțe și colaborări cu organizații naționale și internaționale cu scopuri similare, precum și cu autorități publice și instituții academice;</w:t>
      </w:r>
    </w:p>
    <w:p w14:paraId="4EAE4C26"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j) Atragerea de fonduri publice sau private, inclusiv fonduri europene și internaționale nerambursabile, pentru susținerea proiectelor educaționale, de cercetare și de impact comunitar;</w:t>
      </w:r>
    </w:p>
    <w:p w14:paraId="0FAC396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k) Elaborarea și implementarea de proiecte public-private;</w:t>
      </w:r>
    </w:p>
    <w:p w14:paraId="5D22F7F6"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l) Acordarea de burse, premii, diplome și alte forme de recunoaștere pentru activitatea științifică, educațională și profesională desfășurată în spiritul valorilor societății;</w:t>
      </w:r>
    </w:p>
    <w:p w14:paraId="218F8684"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m) Furnizarea de expertiză științifică și consultanță pentru instituții guvernamentale și nonguvernamentale implicate în elaborarea de politici de sănătate publică;</w:t>
      </w:r>
    </w:p>
    <w:p w14:paraId="1A2829E2"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n) Organizarea de cursuri de perfecționare, ateliere, sesiuni de mentorat, stagii de documentare și instruire, inclusiv cu participare internațională, dedicate dezvoltării competențelor în medicina stilului de viață;</w:t>
      </w:r>
    </w:p>
    <w:p w14:paraId="11DB71DC"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o) Dezvoltarea și administrarea unui sistem propriu de documentare și informare medicală, care include editarea, publicarea și difuzarea de reviste științifice proprii, precum și sprijinirea apariției altor publicații </w:t>
      </w:r>
      <w:r w:rsidRPr="003860F1">
        <w:rPr>
          <w:rFonts w:cstheme="minorHAnsi"/>
          <w:noProof/>
          <w:color w:val="0D0D0D" w:themeColor="text1" w:themeTint="F2"/>
        </w:rPr>
        <w:lastRenderedPageBreak/>
        <w:t>specializate, în țară și în străinătate, în scopul promovării medicinei stilului de viață și diseminării cunoștințelor de profil;</w:t>
      </w:r>
    </w:p>
    <w:p w14:paraId="2AABC596"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p) Înființarea și administrarea unui centru de resurse educaționale și științifice dedicat membrilor și colaboratorilor societății;</w:t>
      </w:r>
    </w:p>
    <w:p w14:paraId="1AC7DBF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q) Încurajarea schimburilor profesionale și științifice între membrii societății și experți din țară și străinătate;</w:t>
      </w:r>
    </w:p>
    <w:p w14:paraId="004E6FB8"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r) Promovarea voluntariatului profesional și implicarea membrilor în proiecte de educație pentru sănătate, sprijin comunitar și mentorat interdisciplinar;</w:t>
      </w:r>
    </w:p>
    <w:p w14:paraId="5A5732F8" w14:textId="77777777" w:rsidR="00AA7059" w:rsidRPr="003860F1" w:rsidRDefault="00AA7059" w:rsidP="00D31243">
      <w:pPr>
        <w:spacing w:line="240" w:lineRule="auto"/>
        <w:jc w:val="both"/>
        <w:rPr>
          <w:rFonts w:cstheme="minorHAnsi"/>
          <w:noProof/>
          <w:color w:val="0D0D0D" w:themeColor="text1" w:themeTint="F2"/>
        </w:rPr>
      </w:pPr>
    </w:p>
    <w:p w14:paraId="69058148" w14:textId="77777777" w:rsidR="003860F1" w:rsidRPr="003860F1" w:rsidRDefault="003860F1" w:rsidP="00D31243">
      <w:pPr>
        <w:spacing w:after="0" w:line="240" w:lineRule="auto"/>
        <w:jc w:val="center"/>
        <w:rPr>
          <w:rFonts w:cstheme="minorHAnsi"/>
          <w:b/>
          <w:bCs/>
          <w:noProof/>
          <w:color w:val="0D0D0D" w:themeColor="text1" w:themeTint="F2"/>
        </w:rPr>
      </w:pPr>
      <w:r w:rsidRPr="003860F1">
        <w:rPr>
          <w:rFonts w:cstheme="minorHAnsi"/>
          <w:b/>
          <w:bCs/>
          <w:noProof/>
          <w:color w:val="0D0D0D" w:themeColor="text1" w:themeTint="F2"/>
        </w:rPr>
        <w:t>CAPITOLUL III – MEMBRII ASOCIAȚIEI</w:t>
      </w:r>
    </w:p>
    <w:p w14:paraId="133D83D8" w14:textId="77777777" w:rsidR="003860F1" w:rsidRPr="003860F1" w:rsidRDefault="003860F1" w:rsidP="00D31243">
      <w:pPr>
        <w:spacing w:after="0" w:line="240" w:lineRule="auto"/>
        <w:jc w:val="center"/>
        <w:rPr>
          <w:rFonts w:cstheme="minorHAnsi"/>
          <w:noProof/>
          <w:color w:val="0D0D0D" w:themeColor="text1" w:themeTint="F2"/>
        </w:rPr>
      </w:pPr>
      <w:r w:rsidRPr="003860F1">
        <w:rPr>
          <w:rFonts w:cstheme="minorHAnsi"/>
          <w:b/>
          <w:bCs/>
          <w:noProof/>
          <w:color w:val="0D0D0D" w:themeColor="text1" w:themeTint="F2"/>
        </w:rPr>
        <w:t>DOBÂNDIREA ȘI PIERDEREA CALITĂȚII DE MEMBRU</w:t>
      </w:r>
    </w:p>
    <w:p w14:paraId="54482B27" w14:textId="77777777" w:rsidR="00D31243" w:rsidRDefault="00D31243" w:rsidP="00D31243">
      <w:pPr>
        <w:spacing w:line="240" w:lineRule="auto"/>
        <w:jc w:val="both"/>
        <w:rPr>
          <w:rFonts w:cstheme="minorHAnsi"/>
          <w:b/>
          <w:bCs/>
          <w:noProof/>
          <w:color w:val="0D0D0D" w:themeColor="text1" w:themeTint="F2"/>
        </w:rPr>
      </w:pPr>
    </w:p>
    <w:p w14:paraId="39F7C365" w14:textId="4D1FB3F9" w:rsidR="003860F1" w:rsidRPr="003860F1" w:rsidRDefault="003860F1" w:rsidP="00D31243">
      <w:pPr>
        <w:spacing w:line="240" w:lineRule="auto"/>
        <w:jc w:val="both"/>
        <w:rPr>
          <w:rFonts w:cstheme="minorHAnsi"/>
          <w:b/>
          <w:bCs/>
          <w:noProof/>
          <w:color w:val="0D0D0D" w:themeColor="text1" w:themeTint="F2"/>
        </w:rPr>
      </w:pPr>
      <w:r w:rsidRPr="003860F1">
        <w:rPr>
          <w:rFonts w:cstheme="minorHAnsi"/>
          <w:b/>
          <w:bCs/>
          <w:noProof/>
          <w:color w:val="0D0D0D" w:themeColor="text1" w:themeTint="F2"/>
        </w:rPr>
        <w:t>Art. 7 – Membri</w:t>
      </w:r>
    </w:p>
    <w:p w14:paraId="710FCFEE" w14:textId="739263EC"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(1) Pot deveni membri ai </w:t>
      </w:r>
      <w:r w:rsidR="00D31243">
        <w:rPr>
          <w:rFonts w:cstheme="minorHAnsi"/>
          <w:noProof/>
          <w:color w:val="0D0D0D" w:themeColor="text1" w:themeTint="F2"/>
        </w:rPr>
        <w:t>ASLM</w:t>
      </w:r>
      <w:r w:rsidRPr="003860F1">
        <w:rPr>
          <w:rFonts w:cstheme="minorHAnsi"/>
          <w:noProof/>
          <w:color w:val="0D0D0D" w:themeColor="text1" w:themeTint="F2"/>
        </w:rPr>
        <w:t xml:space="preserve"> persoanele fizice sau juridice din țară sau străinătate care sprijină obiectivele Asociației, contribuind moral, financiar sau material, prin munca sau cunoștințele lor, la buna desfășurare a activității Asociației, respectând disciplina, regulamentele și normele interne, conform prezentului Statut și a oricăror regulamente emise în baza sa.</w:t>
      </w:r>
    </w:p>
    <w:p w14:paraId="06A8E04A" w14:textId="6EBA311D" w:rsidR="003860F1" w:rsidRPr="003860F1" w:rsidRDefault="003860F1" w:rsidP="00D31243">
      <w:pPr>
        <w:spacing w:after="0" w:line="240" w:lineRule="auto"/>
        <w:jc w:val="both"/>
        <w:rPr>
          <w:rFonts w:cstheme="minorHAnsi"/>
          <w:noProof/>
          <w:color w:val="0D0D0D" w:themeColor="text1" w:themeTint="F2"/>
        </w:rPr>
      </w:pPr>
      <w:r w:rsidRPr="003860F1">
        <w:rPr>
          <w:rFonts w:cstheme="minorHAnsi"/>
          <w:noProof/>
          <w:color w:val="0D0D0D" w:themeColor="text1" w:themeTint="F2"/>
        </w:rPr>
        <w:t>(2) Membrii</w:t>
      </w:r>
      <w:r w:rsidR="00D31243">
        <w:rPr>
          <w:rFonts w:cstheme="minorHAnsi"/>
          <w:noProof/>
          <w:color w:val="0D0D0D" w:themeColor="text1" w:themeTint="F2"/>
        </w:rPr>
        <w:t xml:space="preserve"> ASLM</w:t>
      </w:r>
      <w:r w:rsidRPr="003860F1">
        <w:rPr>
          <w:rFonts w:cstheme="minorHAnsi"/>
          <w:noProof/>
          <w:color w:val="0D0D0D" w:themeColor="text1" w:themeTint="F2"/>
        </w:rPr>
        <w:t xml:space="preserve"> sunt:</w:t>
      </w:r>
    </w:p>
    <w:p w14:paraId="2ADDC8DB" w14:textId="77777777" w:rsidR="00AA7059" w:rsidRDefault="003860F1" w:rsidP="00D31243">
      <w:pPr>
        <w:pStyle w:val="ListParagraph"/>
        <w:numPr>
          <w:ilvl w:val="0"/>
          <w:numId w:val="1"/>
        </w:numPr>
        <w:spacing w:after="0" w:line="240" w:lineRule="auto"/>
        <w:ind w:left="567" w:hanging="567"/>
        <w:jc w:val="both"/>
        <w:rPr>
          <w:rFonts w:cstheme="minorHAnsi"/>
          <w:noProof/>
          <w:color w:val="0D0D0D" w:themeColor="text1" w:themeTint="F2"/>
        </w:rPr>
      </w:pPr>
      <w:r w:rsidRPr="00AA7059">
        <w:rPr>
          <w:rFonts w:cstheme="minorHAnsi"/>
          <w:noProof/>
          <w:color w:val="0D0D0D" w:themeColor="text1" w:themeTint="F2"/>
        </w:rPr>
        <w:t>Membri fondatori</w:t>
      </w:r>
    </w:p>
    <w:p w14:paraId="6BA7F67F" w14:textId="77777777" w:rsidR="00AA7059" w:rsidRDefault="003860F1" w:rsidP="00D31243">
      <w:pPr>
        <w:pStyle w:val="ListParagraph"/>
        <w:numPr>
          <w:ilvl w:val="0"/>
          <w:numId w:val="1"/>
        </w:numPr>
        <w:spacing w:after="0" w:line="240" w:lineRule="auto"/>
        <w:ind w:left="567" w:hanging="567"/>
        <w:jc w:val="both"/>
        <w:rPr>
          <w:rFonts w:cstheme="minorHAnsi"/>
          <w:noProof/>
          <w:color w:val="0D0D0D" w:themeColor="text1" w:themeTint="F2"/>
        </w:rPr>
      </w:pPr>
      <w:r w:rsidRPr="00AA7059">
        <w:rPr>
          <w:rFonts w:cstheme="minorHAnsi"/>
          <w:noProof/>
          <w:color w:val="0D0D0D" w:themeColor="text1" w:themeTint="F2"/>
        </w:rPr>
        <w:t>Membri de onoare</w:t>
      </w:r>
    </w:p>
    <w:p w14:paraId="79F75CB0" w14:textId="206FF946" w:rsidR="00AA7059" w:rsidRDefault="003860F1" w:rsidP="00D31243">
      <w:pPr>
        <w:pStyle w:val="ListParagraph"/>
        <w:numPr>
          <w:ilvl w:val="0"/>
          <w:numId w:val="1"/>
        </w:numPr>
        <w:spacing w:after="0" w:line="240" w:lineRule="auto"/>
        <w:ind w:left="567" w:hanging="567"/>
        <w:jc w:val="both"/>
        <w:rPr>
          <w:rFonts w:cstheme="minorHAnsi"/>
          <w:noProof/>
          <w:color w:val="0D0D0D" w:themeColor="text1" w:themeTint="F2"/>
        </w:rPr>
      </w:pPr>
      <w:r w:rsidRPr="00AA7059">
        <w:rPr>
          <w:rFonts w:cstheme="minorHAnsi"/>
          <w:noProof/>
          <w:color w:val="0D0D0D" w:themeColor="text1" w:themeTint="F2"/>
        </w:rPr>
        <w:t>Membri asociați</w:t>
      </w:r>
      <w:r w:rsidR="00D31243">
        <w:rPr>
          <w:rFonts w:cstheme="minorHAnsi"/>
          <w:noProof/>
          <w:color w:val="0D0D0D" w:themeColor="text1" w:themeTint="F2"/>
        </w:rPr>
        <w:t>/titular</w:t>
      </w:r>
    </w:p>
    <w:p w14:paraId="6A36BECE" w14:textId="1C40B89F" w:rsidR="003860F1" w:rsidRPr="00AA7059" w:rsidRDefault="003860F1" w:rsidP="00D31243">
      <w:pPr>
        <w:pStyle w:val="ListParagraph"/>
        <w:numPr>
          <w:ilvl w:val="0"/>
          <w:numId w:val="1"/>
        </w:numPr>
        <w:spacing w:after="0" w:line="240" w:lineRule="auto"/>
        <w:ind w:left="567" w:hanging="567"/>
        <w:jc w:val="both"/>
        <w:rPr>
          <w:rFonts w:cstheme="minorHAnsi"/>
          <w:noProof/>
          <w:color w:val="0D0D0D" w:themeColor="text1" w:themeTint="F2"/>
        </w:rPr>
      </w:pPr>
      <w:r w:rsidRPr="00AA7059">
        <w:rPr>
          <w:rFonts w:cstheme="minorHAnsi"/>
          <w:noProof/>
          <w:color w:val="0D0D0D" w:themeColor="text1" w:themeTint="F2"/>
        </w:rPr>
        <w:t>Membri afiliați</w:t>
      </w:r>
    </w:p>
    <w:p w14:paraId="5D817796" w14:textId="77777777" w:rsidR="00D31243" w:rsidRDefault="00D31243" w:rsidP="00D31243">
      <w:pPr>
        <w:spacing w:line="240" w:lineRule="auto"/>
        <w:jc w:val="both"/>
        <w:rPr>
          <w:rFonts w:cstheme="minorHAnsi"/>
          <w:noProof/>
          <w:color w:val="0D0D0D" w:themeColor="text1" w:themeTint="F2"/>
        </w:rPr>
      </w:pPr>
    </w:p>
    <w:p w14:paraId="7D32E9A3" w14:textId="77777777" w:rsidR="00D31243" w:rsidRDefault="00D31243" w:rsidP="00D31243">
      <w:pPr>
        <w:spacing w:line="240" w:lineRule="auto"/>
        <w:jc w:val="both"/>
        <w:rPr>
          <w:rFonts w:cstheme="minorHAnsi"/>
          <w:noProof/>
          <w:color w:val="0D0D0D" w:themeColor="text1" w:themeTint="F2"/>
        </w:rPr>
      </w:pPr>
    </w:p>
    <w:p w14:paraId="3B0E9527" w14:textId="67DBFAD7" w:rsidR="003860F1" w:rsidRPr="003860F1" w:rsidRDefault="003860F1" w:rsidP="00D31243">
      <w:pPr>
        <w:spacing w:line="240" w:lineRule="auto"/>
        <w:jc w:val="both"/>
        <w:rPr>
          <w:rFonts w:cstheme="minorHAnsi"/>
          <w:b/>
          <w:bCs/>
          <w:noProof/>
          <w:color w:val="0D0D0D" w:themeColor="text1" w:themeTint="F2"/>
        </w:rPr>
      </w:pPr>
      <w:r w:rsidRPr="003860F1">
        <w:rPr>
          <w:rFonts w:cstheme="minorHAnsi"/>
          <w:b/>
          <w:bCs/>
          <w:noProof/>
          <w:color w:val="0D0D0D" w:themeColor="text1" w:themeTint="F2"/>
        </w:rPr>
        <w:t>Art. 8 – Dobândirea calității de membru</w:t>
      </w:r>
    </w:p>
    <w:p w14:paraId="3D889FB9" w14:textId="77777777" w:rsidR="00D31243"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(1) Calitatea de </w:t>
      </w:r>
      <w:r w:rsidRPr="003860F1">
        <w:rPr>
          <w:rFonts w:cstheme="minorHAnsi"/>
          <w:b/>
          <w:bCs/>
          <w:noProof/>
          <w:color w:val="0D0D0D" w:themeColor="text1" w:themeTint="F2"/>
        </w:rPr>
        <w:t>membru de onoare</w:t>
      </w:r>
      <w:r w:rsidRPr="003860F1">
        <w:rPr>
          <w:rFonts w:cstheme="minorHAnsi"/>
          <w:noProof/>
          <w:color w:val="0D0D0D" w:themeColor="text1" w:themeTint="F2"/>
        </w:rPr>
        <w:t xml:space="preserve"> o dobândesc personalități din domeniul științific, profesioniști din domeniul medical din țară și străinătate care au contribuit și contribuie la atingerea obiectivelor asociației sau la dezvoltarea domeniului medical-științific în general.</w:t>
      </w:r>
    </w:p>
    <w:p w14:paraId="397CDC86" w14:textId="273ECA4B"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Calitatea de membru de onoare se dobândește la recomandarea a cel puțin 2 membri, prin aprobarea de către Consiliul Director. Membrii de onoare sunt scutiți de achitarea taxei anuale de membru și au dreptul de a participa la orice manifestare organizată sub egida Asociației. Membrii de onoare pot vota și pot fi aleși în structurile de conducere ale asociației.</w:t>
      </w:r>
    </w:p>
    <w:p w14:paraId="0624D4FA" w14:textId="1ED772CD"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(2) Calitatea de </w:t>
      </w:r>
      <w:r w:rsidRPr="003860F1">
        <w:rPr>
          <w:rFonts w:cstheme="minorHAnsi"/>
          <w:b/>
          <w:bCs/>
          <w:noProof/>
          <w:color w:val="0D0D0D" w:themeColor="text1" w:themeTint="F2"/>
        </w:rPr>
        <w:t>membru asociat</w:t>
      </w:r>
      <w:r w:rsidR="00D31243">
        <w:rPr>
          <w:rFonts w:cstheme="minorHAnsi"/>
          <w:b/>
          <w:bCs/>
          <w:noProof/>
          <w:color w:val="0D0D0D" w:themeColor="text1" w:themeTint="F2"/>
        </w:rPr>
        <w:t>/titular</w:t>
      </w:r>
      <w:r w:rsidRPr="003860F1">
        <w:rPr>
          <w:rFonts w:cstheme="minorHAnsi"/>
          <w:noProof/>
          <w:color w:val="0D0D0D" w:themeColor="text1" w:themeTint="F2"/>
        </w:rPr>
        <w:t xml:space="preserve"> o dobândesc persoanele fizice cu pregătire medicală sau conexă – denumite generic „profesioniști din domeniul sănătății” (ex. medicină, farmacie, biologie, biochimie, tehnologii IT medicale etc.), precum și persoanele interesate de stilul de viață sănătos și longevitate – care aderă la scopul și principiile Asociației și contribuie la realizarea scopului și activităților ei.</w:t>
      </w:r>
      <w:r w:rsidRPr="003860F1">
        <w:rPr>
          <w:rFonts w:cstheme="minorHAnsi"/>
          <w:noProof/>
          <w:color w:val="0D0D0D" w:themeColor="text1" w:themeTint="F2"/>
        </w:rPr>
        <w:br/>
        <w:t>Calitatea de membru asociat se dobândește prin aprobarea Cererii de Aderare de către Consiliul Director și prin achitarea taxei anuale stabilite de Comitetul Director. Membrii asociați pot vota în Adunarea Generală și pot fi aleși în structurile de conducere ale asociației, având continuitate în asociație (cotizație, unde este cazul, și activitate) de minimum 2 ani.</w:t>
      </w:r>
    </w:p>
    <w:p w14:paraId="4E0B3B8F" w14:textId="77777777" w:rsidR="003860F1" w:rsidRPr="003860F1" w:rsidRDefault="003860F1" w:rsidP="00D31243">
      <w:pPr>
        <w:spacing w:line="240" w:lineRule="auto"/>
        <w:jc w:val="both"/>
        <w:rPr>
          <w:rFonts w:cstheme="minorHAnsi"/>
          <w:noProof/>
          <w:color w:val="0D0D0D" w:themeColor="text1" w:themeTint="F2"/>
        </w:rPr>
      </w:pPr>
      <w:r w:rsidRPr="003860F1">
        <w:rPr>
          <w:rFonts w:cstheme="minorHAnsi"/>
          <w:noProof/>
          <w:color w:val="0D0D0D" w:themeColor="text1" w:themeTint="F2"/>
        </w:rPr>
        <w:t xml:space="preserve">(3) Calitatea de </w:t>
      </w:r>
      <w:r w:rsidRPr="003860F1">
        <w:rPr>
          <w:rFonts w:cstheme="minorHAnsi"/>
          <w:b/>
          <w:bCs/>
          <w:noProof/>
          <w:color w:val="0D0D0D" w:themeColor="text1" w:themeTint="F2"/>
        </w:rPr>
        <w:t>membru afiliat</w:t>
      </w:r>
      <w:r w:rsidRPr="003860F1">
        <w:rPr>
          <w:rFonts w:cstheme="minorHAnsi"/>
          <w:noProof/>
          <w:color w:val="0D0D0D" w:themeColor="text1" w:themeTint="F2"/>
        </w:rPr>
        <w:t xml:space="preserve"> o dobândesc persoanele juridice care manifestă interes pentru activitățile Asociației, sunt legal constituite și funcționează și sunt implicate în proiectele Asociației.</w:t>
      </w:r>
      <w:r w:rsidRPr="003860F1">
        <w:rPr>
          <w:rFonts w:cstheme="minorHAnsi"/>
          <w:noProof/>
          <w:color w:val="0D0D0D" w:themeColor="text1" w:themeTint="F2"/>
        </w:rPr>
        <w:br/>
        <w:t>Calitatea de membru afiliat se dobândește prin aprobarea Cererii de Aderare de către Consiliul Director și prin achitarea unei taxe anuale stabilite de C.D. Membrii afiliați pot participa activ la viața asociației, dar nu dețin drept de vot în Adunarea Generală și nu pot fi aleși în structurile de conducere ale asociației.</w:t>
      </w:r>
    </w:p>
    <w:p w14:paraId="639E4138" w14:textId="77777777" w:rsidR="00D31243" w:rsidRDefault="00D31243" w:rsidP="00D31243">
      <w:pPr>
        <w:spacing w:line="240" w:lineRule="auto"/>
        <w:jc w:val="both"/>
        <w:rPr>
          <w:rFonts w:cstheme="minorHAnsi"/>
          <w:b/>
          <w:bCs/>
          <w:noProof/>
          <w:color w:val="0D0D0D" w:themeColor="text1" w:themeTint="F2"/>
        </w:rPr>
      </w:pPr>
    </w:p>
    <w:p w14:paraId="67CA76B5" w14:textId="77777777" w:rsidR="003860F1" w:rsidRPr="003860F1" w:rsidRDefault="003860F1" w:rsidP="00D31243">
      <w:pPr>
        <w:spacing w:line="240" w:lineRule="auto"/>
        <w:jc w:val="center"/>
        <w:rPr>
          <w:rFonts w:eastAsia="Times New Roman" w:cstheme="minorHAnsi"/>
          <w:b/>
          <w:bCs/>
          <w:noProof/>
          <w:color w:val="0D0D0D" w:themeColor="text1" w:themeTint="F2"/>
          <w:lang w:eastAsia="ro-RO"/>
          <w14:ligatures w14:val="none"/>
        </w:rPr>
      </w:pPr>
      <w:r w:rsidRPr="003860F1">
        <w:rPr>
          <w:rFonts w:eastAsia="Times New Roman" w:cstheme="minorHAnsi"/>
          <w:b/>
          <w:bCs/>
          <w:noProof/>
          <w:color w:val="0D0D0D" w:themeColor="text1" w:themeTint="F2"/>
          <w:lang w:eastAsia="ro-RO"/>
          <w14:ligatures w14:val="none"/>
        </w:rPr>
        <w:t>CAPITOLUL V – ORGANELE DE CONDUCERE, ADMINISTRARE ȘI CONTROL ALE ASOCIAȚIEI</w:t>
      </w:r>
    </w:p>
    <w:p w14:paraId="5D38F377" w14:textId="7F8F7045" w:rsidR="003860F1" w:rsidRPr="003860F1" w:rsidRDefault="003860F1" w:rsidP="00D31243">
      <w:pPr>
        <w:spacing w:after="0" w:line="240" w:lineRule="auto"/>
        <w:jc w:val="both"/>
        <w:rPr>
          <w:rFonts w:eastAsia="Times New Roman" w:cstheme="minorHAnsi"/>
          <w:b/>
          <w:bCs/>
          <w:noProof/>
          <w:color w:val="0D0D0D" w:themeColor="text1" w:themeTint="F2"/>
          <w:lang w:eastAsia="ro-RO"/>
          <w14:ligatures w14:val="none"/>
        </w:rPr>
      </w:pPr>
      <w:r w:rsidRPr="003860F1">
        <w:rPr>
          <w:rFonts w:eastAsia="Times New Roman" w:cstheme="minorHAnsi"/>
          <w:b/>
          <w:bCs/>
          <w:noProof/>
          <w:color w:val="0D0D0D" w:themeColor="text1" w:themeTint="F2"/>
          <w:lang w:eastAsia="ro-RO"/>
          <w14:ligatures w14:val="none"/>
        </w:rPr>
        <w:t xml:space="preserve">Art. 15 – Organele </w:t>
      </w:r>
      <w:r w:rsidR="00D31243">
        <w:rPr>
          <w:rFonts w:eastAsia="Times New Roman" w:cstheme="minorHAnsi"/>
          <w:b/>
          <w:bCs/>
          <w:noProof/>
          <w:color w:val="0D0D0D" w:themeColor="text1" w:themeTint="F2"/>
          <w:lang w:eastAsia="ro-RO"/>
          <w14:ligatures w14:val="none"/>
        </w:rPr>
        <w:t xml:space="preserve">de conducerea a </w:t>
      </w:r>
      <w:r w:rsidRPr="003860F1">
        <w:rPr>
          <w:rFonts w:eastAsia="Times New Roman" w:cstheme="minorHAnsi"/>
          <w:b/>
          <w:bCs/>
          <w:noProof/>
          <w:color w:val="0D0D0D" w:themeColor="text1" w:themeTint="F2"/>
          <w:lang w:eastAsia="ro-RO"/>
          <w14:ligatures w14:val="none"/>
        </w:rPr>
        <w:t>asociației</w:t>
      </w:r>
    </w:p>
    <w:p w14:paraId="6CE103C7" w14:textId="77777777" w:rsidR="003860F1" w:rsidRPr="003860F1" w:rsidRDefault="003860F1" w:rsidP="00D31243">
      <w:pPr>
        <w:spacing w:after="0" w:line="240" w:lineRule="auto"/>
        <w:jc w:val="both"/>
        <w:rPr>
          <w:rFonts w:eastAsia="Times New Roman" w:cstheme="minorHAnsi"/>
          <w:noProof/>
          <w:color w:val="0D0D0D" w:themeColor="text1" w:themeTint="F2"/>
          <w:lang w:eastAsia="ro-RO"/>
          <w14:ligatures w14:val="none"/>
        </w:rPr>
      </w:pPr>
      <w:r w:rsidRPr="003860F1">
        <w:rPr>
          <w:rFonts w:eastAsia="Times New Roman" w:cstheme="minorHAnsi"/>
          <w:noProof/>
          <w:color w:val="0D0D0D" w:themeColor="text1" w:themeTint="F2"/>
          <w:lang w:eastAsia="ro-RO"/>
          <w14:ligatures w14:val="none"/>
        </w:rPr>
        <w:t>Organele de conducere, administrare și control ale Asociației sunt:</w:t>
      </w:r>
    </w:p>
    <w:p w14:paraId="0F5AEA8C" w14:textId="77777777" w:rsidR="003860F1" w:rsidRPr="003860F1" w:rsidRDefault="003860F1" w:rsidP="00D31243">
      <w:pPr>
        <w:numPr>
          <w:ilvl w:val="0"/>
          <w:numId w:val="3"/>
        </w:numPr>
        <w:spacing w:after="0" w:line="240" w:lineRule="auto"/>
        <w:ind w:left="1134" w:hanging="567"/>
        <w:jc w:val="both"/>
        <w:rPr>
          <w:rFonts w:eastAsia="Times New Roman" w:cstheme="minorHAnsi"/>
          <w:noProof/>
          <w:color w:val="0D0D0D" w:themeColor="text1" w:themeTint="F2"/>
          <w:lang w:eastAsia="ro-RO"/>
          <w14:ligatures w14:val="none"/>
        </w:rPr>
      </w:pPr>
      <w:r w:rsidRPr="003860F1">
        <w:rPr>
          <w:rFonts w:eastAsia="Times New Roman" w:cstheme="minorHAnsi"/>
          <w:noProof/>
          <w:color w:val="0D0D0D" w:themeColor="text1" w:themeTint="F2"/>
          <w:lang w:eastAsia="ro-RO"/>
          <w14:ligatures w14:val="none"/>
        </w:rPr>
        <w:t>Adunarea Generală</w:t>
      </w:r>
    </w:p>
    <w:p w14:paraId="2DE4BD13" w14:textId="77777777" w:rsidR="003860F1" w:rsidRPr="003860F1" w:rsidRDefault="003860F1" w:rsidP="00D31243">
      <w:pPr>
        <w:numPr>
          <w:ilvl w:val="0"/>
          <w:numId w:val="3"/>
        </w:numPr>
        <w:spacing w:after="0" w:line="240" w:lineRule="auto"/>
        <w:ind w:left="1134" w:hanging="567"/>
        <w:jc w:val="both"/>
        <w:rPr>
          <w:rFonts w:eastAsia="Times New Roman" w:cstheme="minorHAnsi"/>
          <w:noProof/>
          <w:color w:val="0D0D0D" w:themeColor="text1" w:themeTint="F2"/>
          <w:lang w:eastAsia="ro-RO"/>
          <w14:ligatures w14:val="none"/>
        </w:rPr>
      </w:pPr>
      <w:r w:rsidRPr="003860F1">
        <w:rPr>
          <w:rFonts w:eastAsia="Times New Roman" w:cstheme="minorHAnsi"/>
          <w:noProof/>
          <w:color w:val="0D0D0D" w:themeColor="text1" w:themeTint="F2"/>
          <w:lang w:eastAsia="ro-RO"/>
          <w14:ligatures w14:val="none"/>
        </w:rPr>
        <w:t>Consiliul Director, Președintele, Secretarul General</w:t>
      </w:r>
    </w:p>
    <w:p w14:paraId="3B364EEE" w14:textId="592041C7" w:rsidR="003860F1" w:rsidRPr="003860F1" w:rsidRDefault="003860F1" w:rsidP="00D31243">
      <w:pPr>
        <w:numPr>
          <w:ilvl w:val="0"/>
          <w:numId w:val="3"/>
        </w:numPr>
        <w:spacing w:after="0" w:line="240" w:lineRule="auto"/>
        <w:ind w:left="1134" w:hanging="567"/>
        <w:jc w:val="both"/>
        <w:rPr>
          <w:rFonts w:eastAsia="Times New Roman" w:cstheme="minorHAnsi"/>
          <w:noProof/>
          <w:color w:val="0D0D0D" w:themeColor="text1" w:themeTint="F2"/>
          <w:lang w:eastAsia="ro-RO"/>
          <w14:ligatures w14:val="none"/>
        </w:rPr>
      </w:pPr>
      <w:r w:rsidRPr="003860F1">
        <w:rPr>
          <w:rFonts w:eastAsia="Times New Roman" w:cstheme="minorHAnsi"/>
          <w:noProof/>
          <w:color w:val="0D0D0D" w:themeColor="text1" w:themeTint="F2"/>
          <w:lang w:eastAsia="ro-RO"/>
          <w14:ligatures w14:val="none"/>
        </w:rPr>
        <w:t>Biroul Național de Coordonare – organul de conducere științifică al A</w:t>
      </w:r>
      <w:r w:rsidR="00D31243">
        <w:rPr>
          <w:rFonts w:eastAsia="Times New Roman" w:cstheme="minorHAnsi"/>
          <w:noProof/>
          <w:color w:val="0D0D0D" w:themeColor="text1" w:themeTint="F2"/>
          <w:lang w:eastAsia="ro-RO"/>
          <w14:ligatures w14:val="none"/>
        </w:rPr>
        <w:t>SLM</w:t>
      </w:r>
      <w:r w:rsidRPr="003860F1">
        <w:rPr>
          <w:rFonts w:eastAsia="Times New Roman" w:cstheme="minorHAnsi"/>
          <w:noProof/>
          <w:color w:val="0D0D0D" w:themeColor="text1" w:themeTint="F2"/>
          <w:lang w:eastAsia="ro-RO"/>
          <w14:ligatures w14:val="none"/>
        </w:rPr>
        <w:t>, denumit și Consiliul Științific</w:t>
      </w:r>
    </w:p>
    <w:p w14:paraId="2D7ECFD0" w14:textId="77777777" w:rsidR="003860F1" w:rsidRDefault="003860F1" w:rsidP="00D31243">
      <w:pPr>
        <w:numPr>
          <w:ilvl w:val="0"/>
          <w:numId w:val="3"/>
        </w:numPr>
        <w:spacing w:after="0" w:line="240" w:lineRule="auto"/>
        <w:ind w:left="1134" w:hanging="567"/>
        <w:jc w:val="both"/>
        <w:rPr>
          <w:rFonts w:eastAsia="Times New Roman" w:cstheme="minorHAnsi"/>
          <w:noProof/>
          <w:color w:val="0D0D0D" w:themeColor="text1" w:themeTint="F2"/>
          <w:lang w:eastAsia="ro-RO"/>
          <w14:ligatures w14:val="none"/>
        </w:rPr>
      </w:pPr>
      <w:r w:rsidRPr="003860F1">
        <w:rPr>
          <w:rFonts w:eastAsia="Times New Roman" w:cstheme="minorHAnsi"/>
          <w:noProof/>
          <w:color w:val="0D0D0D" w:themeColor="text1" w:themeTint="F2"/>
          <w:lang w:eastAsia="ro-RO"/>
          <w14:ligatures w14:val="none"/>
        </w:rPr>
        <w:t>Cenzorul sau, după caz, Comisia de cenzori</w:t>
      </w:r>
    </w:p>
    <w:p w14:paraId="6DFB4A80" w14:textId="4E404D51" w:rsidR="00D31243" w:rsidRDefault="00D31243" w:rsidP="00D31243">
      <w:pPr>
        <w:spacing w:after="0" w:line="240" w:lineRule="auto"/>
        <w:jc w:val="both"/>
        <w:rPr>
          <w:rFonts w:eastAsia="Times New Roman" w:cstheme="minorHAnsi"/>
          <w:noProof/>
          <w:color w:val="0D0D0D" w:themeColor="text1" w:themeTint="F2"/>
          <w:lang w:eastAsia="ro-RO"/>
          <w14:ligatures w14:val="none"/>
        </w:rPr>
      </w:pPr>
    </w:p>
    <w:p w14:paraId="710AE8C2" w14:textId="77777777" w:rsidR="004A0D5C" w:rsidRPr="00810351" w:rsidRDefault="004A0D5C" w:rsidP="00D31243">
      <w:pPr>
        <w:pStyle w:val="ListParagraph"/>
        <w:spacing w:line="240" w:lineRule="auto"/>
        <w:ind w:left="0"/>
        <w:rPr>
          <w:rFonts w:eastAsia="Times New Roman" w:cstheme="minorHAnsi"/>
          <w:noProof/>
          <w:color w:val="0D0D0D" w:themeColor="text1" w:themeTint="F2"/>
          <w:lang w:eastAsia="ro-RO"/>
          <w14:ligatures w14:val="none"/>
        </w:rPr>
      </w:pPr>
    </w:p>
    <w:p w14:paraId="3154EE53" w14:textId="77777777" w:rsidR="003860F1" w:rsidRPr="00810351" w:rsidRDefault="003860F1" w:rsidP="00D31243">
      <w:pPr>
        <w:spacing w:line="240" w:lineRule="auto"/>
        <w:jc w:val="both"/>
        <w:outlineLvl w:val="2"/>
        <w:rPr>
          <w:rFonts w:eastAsia="Times New Roman" w:cstheme="minorHAnsi"/>
          <w:b/>
          <w:bCs/>
          <w:noProof/>
          <w:color w:val="0D0D0D" w:themeColor="text1" w:themeTint="F2"/>
          <w:lang w:eastAsia="ro-RO"/>
          <w14:ligatures w14:val="none"/>
        </w:rPr>
      </w:pPr>
      <w:r w:rsidRPr="00810351">
        <w:rPr>
          <w:rFonts w:eastAsia="Times New Roman" w:cstheme="minorHAnsi"/>
          <w:b/>
          <w:bCs/>
          <w:noProof/>
          <w:color w:val="0D0D0D" w:themeColor="text1" w:themeTint="F2"/>
          <w:lang w:eastAsia="ro-RO"/>
          <w14:ligatures w14:val="none"/>
        </w:rPr>
        <w:t>Art. 26 – Biroul Național de Coordonare (Consiliul Științific)</w:t>
      </w:r>
    </w:p>
    <w:p w14:paraId="2247C41D"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(1) Biroul Național de Coordonare al Asociației se mai numește și Consiliul Științific și este organul de conducere științifică al Asociației.</w:t>
      </w:r>
    </w:p>
    <w:p w14:paraId="363B5DD5"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(2) Biroul Național de Coordonare – Consiliul Științific – are un număr nedeterminat de membri și este format din președinte de onoare, președinte, vicepreședinți și membri.</w:t>
      </w:r>
    </w:p>
    <w:p w14:paraId="1E8B914B"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(3) Biroul Național de Coordonare – Consiliul Științific – este format din o parte dintre membrii fondatori și din membri de onoare ai Asociației, aleși conform prevederilor prezentului Statut.</w:t>
      </w:r>
    </w:p>
    <w:p w14:paraId="6B51A6B6"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(4) Președintele Consiliului Director al Asociației, Directorul revistei oficiale a Asociației și membrii de onoare fac parte automat din Biroul Național de Coordonare (Consiliul Științific).</w:t>
      </w:r>
    </w:p>
    <w:p w14:paraId="3675845C"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(5) Biroul Național de Coordonare (Consiliul Științific) asigură linia științifică a Asociației și coordonarea întregii activități științifice, de învățământ și de cercetare inițiate sau derulate de Asociație, în nume propriu sau în parteneriate.</w:t>
      </w:r>
    </w:p>
    <w:p w14:paraId="55639B28" w14:textId="77777777" w:rsidR="003860F1" w:rsidRPr="000C3DFB" w:rsidRDefault="003860F1" w:rsidP="00D31243">
      <w:pPr>
        <w:spacing w:line="240" w:lineRule="auto"/>
        <w:jc w:val="both"/>
        <w:rPr>
          <w:rFonts w:eastAsia="Times New Roman" w:cstheme="minorHAnsi"/>
          <w:noProof/>
          <w:color w:val="0D0D0D" w:themeColor="text1" w:themeTint="F2"/>
          <w:lang w:eastAsia="ro-RO"/>
          <w14:ligatures w14:val="none"/>
        </w:rPr>
      </w:pPr>
      <w:r w:rsidRPr="000C3DFB">
        <w:rPr>
          <w:rFonts w:eastAsia="Times New Roman" w:cstheme="minorHAnsi"/>
          <w:noProof/>
          <w:color w:val="0D0D0D" w:themeColor="text1" w:themeTint="F2"/>
          <w:lang w:eastAsia="ro-RO"/>
          <w14:ligatures w14:val="none"/>
        </w:rPr>
        <w:t>(6) Componența Biroului Național de Coordonare (Consiliului Științific) se actualizează periodic cu noi membri și se publică pe site-ul oficial al Asociației.</w:t>
      </w:r>
    </w:p>
    <w:p w14:paraId="4E208A65" w14:textId="09EB5178" w:rsidR="003860F1" w:rsidRPr="00810351" w:rsidRDefault="00D31243" w:rsidP="00D31243">
      <w:pPr>
        <w:spacing w:line="240" w:lineRule="auto"/>
        <w:jc w:val="both"/>
        <w:rPr>
          <w:rFonts w:cstheme="minorHAnsi"/>
          <w:noProof/>
          <w:color w:val="0D0D0D" w:themeColor="text1" w:themeTint="F2"/>
        </w:rPr>
      </w:pPr>
      <w:r>
        <w:rPr>
          <w:rFonts w:cstheme="minorHAnsi"/>
          <w:noProof/>
          <w:color w:val="0D0D0D" w:themeColor="text1" w:themeTint="F2"/>
        </w:rPr>
        <w:t>[…]</w:t>
      </w:r>
    </w:p>
    <w:sectPr w:rsidR="003860F1" w:rsidRPr="00810351" w:rsidSect="00D31243">
      <w:pgSz w:w="11907" w:h="16840" w:code="9"/>
      <w:pgMar w:top="567" w:right="680" w:bottom="567" w:left="102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7D06"/>
    <w:multiLevelType w:val="hybridMultilevel"/>
    <w:tmpl w:val="32506C68"/>
    <w:lvl w:ilvl="0" w:tplc="03E00E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A70137"/>
    <w:multiLevelType w:val="multilevel"/>
    <w:tmpl w:val="80A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A4940"/>
    <w:multiLevelType w:val="hybridMultilevel"/>
    <w:tmpl w:val="8B7C747C"/>
    <w:lvl w:ilvl="0" w:tplc="1A2A3638">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14A5216"/>
    <w:multiLevelType w:val="multilevel"/>
    <w:tmpl w:val="CA98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A5E56"/>
    <w:multiLevelType w:val="multilevel"/>
    <w:tmpl w:val="A886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8259C1"/>
    <w:multiLevelType w:val="multilevel"/>
    <w:tmpl w:val="198C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308586">
    <w:abstractNumId w:val="3"/>
  </w:num>
  <w:num w:numId="2" w16cid:durableId="1419205250">
    <w:abstractNumId w:val="1"/>
  </w:num>
  <w:num w:numId="3" w16cid:durableId="1975407062">
    <w:abstractNumId w:val="5"/>
  </w:num>
  <w:num w:numId="4" w16cid:durableId="1351880720">
    <w:abstractNumId w:val="4"/>
  </w:num>
  <w:num w:numId="5" w16cid:durableId="1036125093">
    <w:abstractNumId w:val="0"/>
  </w:num>
  <w:num w:numId="6" w16cid:durableId="133457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DF"/>
    <w:rsid w:val="00062CCE"/>
    <w:rsid w:val="000C3DFB"/>
    <w:rsid w:val="000C6CCB"/>
    <w:rsid w:val="00230111"/>
    <w:rsid w:val="003314F6"/>
    <w:rsid w:val="00343DFD"/>
    <w:rsid w:val="00352397"/>
    <w:rsid w:val="00356DDD"/>
    <w:rsid w:val="003860F1"/>
    <w:rsid w:val="00400824"/>
    <w:rsid w:val="00487698"/>
    <w:rsid w:val="004A0D5C"/>
    <w:rsid w:val="004B64B1"/>
    <w:rsid w:val="005908FB"/>
    <w:rsid w:val="00600767"/>
    <w:rsid w:val="00692CBA"/>
    <w:rsid w:val="006B609E"/>
    <w:rsid w:val="007B2F07"/>
    <w:rsid w:val="00810351"/>
    <w:rsid w:val="009026CF"/>
    <w:rsid w:val="00983C96"/>
    <w:rsid w:val="009C72A0"/>
    <w:rsid w:val="00AA7059"/>
    <w:rsid w:val="00B0181C"/>
    <w:rsid w:val="00B43907"/>
    <w:rsid w:val="00B62D9A"/>
    <w:rsid w:val="00B85024"/>
    <w:rsid w:val="00BF0D5C"/>
    <w:rsid w:val="00C4156E"/>
    <w:rsid w:val="00C8688D"/>
    <w:rsid w:val="00CD7B77"/>
    <w:rsid w:val="00CF583D"/>
    <w:rsid w:val="00D31243"/>
    <w:rsid w:val="00E85750"/>
    <w:rsid w:val="00EB6ECD"/>
    <w:rsid w:val="00F324DB"/>
    <w:rsid w:val="00F541DF"/>
    <w:rsid w:val="00FC1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6DB0"/>
  <w15:chartTrackingRefBased/>
  <w15:docId w15:val="{41434CA8-F5C4-45B8-B72E-8BE3869E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4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41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1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1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1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41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41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1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1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1DF"/>
    <w:rPr>
      <w:rFonts w:eastAsiaTheme="majorEastAsia" w:cstheme="majorBidi"/>
      <w:color w:val="272727" w:themeColor="text1" w:themeTint="D8"/>
    </w:rPr>
  </w:style>
  <w:style w:type="paragraph" w:styleId="Title">
    <w:name w:val="Title"/>
    <w:basedOn w:val="Normal"/>
    <w:next w:val="Normal"/>
    <w:link w:val="TitleChar"/>
    <w:uiPriority w:val="10"/>
    <w:qFormat/>
    <w:rsid w:val="00F5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1DF"/>
    <w:pPr>
      <w:spacing w:before="160"/>
      <w:jc w:val="center"/>
    </w:pPr>
    <w:rPr>
      <w:i/>
      <w:iCs/>
      <w:color w:val="404040" w:themeColor="text1" w:themeTint="BF"/>
    </w:rPr>
  </w:style>
  <w:style w:type="character" w:customStyle="1" w:styleId="QuoteChar">
    <w:name w:val="Quote Char"/>
    <w:basedOn w:val="DefaultParagraphFont"/>
    <w:link w:val="Quote"/>
    <w:uiPriority w:val="29"/>
    <w:rsid w:val="00F541DF"/>
    <w:rPr>
      <w:i/>
      <w:iCs/>
      <w:color w:val="404040" w:themeColor="text1" w:themeTint="BF"/>
    </w:rPr>
  </w:style>
  <w:style w:type="paragraph" w:styleId="ListParagraph">
    <w:name w:val="List Paragraph"/>
    <w:basedOn w:val="Normal"/>
    <w:uiPriority w:val="34"/>
    <w:qFormat/>
    <w:rsid w:val="00F541DF"/>
    <w:pPr>
      <w:ind w:left="720"/>
      <w:contextualSpacing/>
    </w:pPr>
  </w:style>
  <w:style w:type="character" w:styleId="IntenseEmphasis">
    <w:name w:val="Intense Emphasis"/>
    <w:basedOn w:val="DefaultParagraphFont"/>
    <w:uiPriority w:val="21"/>
    <w:qFormat/>
    <w:rsid w:val="00F541DF"/>
    <w:rPr>
      <w:i/>
      <w:iCs/>
      <w:color w:val="2F5496" w:themeColor="accent1" w:themeShade="BF"/>
    </w:rPr>
  </w:style>
  <w:style w:type="paragraph" w:styleId="IntenseQuote">
    <w:name w:val="Intense Quote"/>
    <w:basedOn w:val="Normal"/>
    <w:next w:val="Normal"/>
    <w:link w:val="IntenseQuoteChar"/>
    <w:uiPriority w:val="30"/>
    <w:qFormat/>
    <w:rsid w:val="00F54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1DF"/>
    <w:rPr>
      <w:i/>
      <w:iCs/>
      <w:color w:val="2F5496" w:themeColor="accent1" w:themeShade="BF"/>
    </w:rPr>
  </w:style>
  <w:style w:type="character" w:styleId="IntenseReference">
    <w:name w:val="Intense Reference"/>
    <w:basedOn w:val="DefaultParagraphFont"/>
    <w:uiPriority w:val="32"/>
    <w:qFormat/>
    <w:rsid w:val="00F541DF"/>
    <w:rPr>
      <w:b/>
      <w:bCs/>
      <w:smallCaps/>
      <w:color w:val="2F5496" w:themeColor="accent1" w:themeShade="BF"/>
      <w:spacing w:val="5"/>
    </w:rPr>
  </w:style>
  <w:style w:type="paragraph" w:styleId="NormalWeb">
    <w:name w:val="Normal (Web)"/>
    <w:basedOn w:val="Normal"/>
    <w:uiPriority w:val="99"/>
    <w:semiHidden/>
    <w:unhideWhenUsed/>
    <w:rsid w:val="003860F1"/>
    <w:pPr>
      <w:spacing w:before="100" w:beforeAutospacing="1" w:after="100" w:afterAutospacing="1" w:line="240" w:lineRule="auto"/>
    </w:pPr>
    <w:rPr>
      <w:rFonts w:ascii="Times New Roman" w:eastAsia="Times New Roman" w:hAnsi="Times New Roman" w:cs="Times New Roman"/>
      <w:lang w:eastAsia="ro-RO"/>
      <w14:ligatures w14:val="none"/>
    </w:rPr>
  </w:style>
  <w:style w:type="character" w:styleId="Hyperlink">
    <w:name w:val="Hyperlink"/>
    <w:basedOn w:val="DefaultParagraphFont"/>
    <w:uiPriority w:val="99"/>
    <w:unhideWhenUsed/>
    <w:rsid w:val="00D31243"/>
    <w:rPr>
      <w:color w:val="0563C1" w:themeColor="hyperlink"/>
      <w:u w:val="single"/>
    </w:rPr>
  </w:style>
  <w:style w:type="character" w:styleId="UnresolvedMention">
    <w:name w:val="Unresolved Mention"/>
    <w:basedOn w:val="DefaultParagraphFont"/>
    <w:uiPriority w:val="99"/>
    <w:semiHidden/>
    <w:unhideWhenUsed/>
    <w:rsid w:val="00D3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LM.org.ro/" TargetMode="External"/><Relationship Id="rId5" Type="http://schemas.openxmlformats.org/officeDocument/2006/relationships/hyperlink" Target="https://ASL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1610</Words>
  <Characters>9344</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dc:creator>
  <cp:keywords/>
  <dc:description/>
  <cp:lastModifiedBy>Cris Popescu</cp:lastModifiedBy>
  <cp:revision>3</cp:revision>
  <dcterms:created xsi:type="dcterms:W3CDTF">2026-01-30T14:27:00Z</dcterms:created>
  <dcterms:modified xsi:type="dcterms:W3CDTF">2026-01-30T16:15:00Z</dcterms:modified>
</cp:coreProperties>
</file>